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06" w:rsidRDefault="006D6E06" w:rsidP="00C53996">
      <w:pPr>
        <w:widowControl w:val="0"/>
        <w:autoSpaceDE w:val="0"/>
        <w:autoSpaceDN w:val="0"/>
        <w:adjustRightInd w:val="0"/>
        <w:jc w:val="center"/>
        <w:rPr>
          <w:rFonts w:cs="Arial-BoldMT"/>
          <w:b/>
          <w:bCs/>
          <w:color w:val="000000"/>
          <w:sz w:val="32"/>
          <w:lang w:bidi="en-US"/>
        </w:rPr>
      </w:pPr>
    </w:p>
    <w:p w:rsidR="00C53996" w:rsidRPr="00C53996" w:rsidRDefault="00C53996" w:rsidP="00C53996">
      <w:pPr>
        <w:widowControl w:val="0"/>
        <w:autoSpaceDE w:val="0"/>
        <w:autoSpaceDN w:val="0"/>
        <w:adjustRightInd w:val="0"/>
        <w:jc w:val="center"/>
        <w:rPr>
          <w:rFonts w:cs="Arial-BoldMT"/>
          <w:b/>
          <w:bCs/>
          <w:color w:val="000000"/>
          <w:sz w:val="32"/>
          <w:lang w:bidi="en-US"/>
        </w:rPr>
      </w:pPr>
      <w:r w:rsidRPr="00C53996">
        <w:rPr>
          <w:rFonts w:cs="Arial-BoldMT"/>
          <w:b/>
          <w:bCs/>
          <w:color w:val="000000"/>
          <w:sz w:val="32"/>
          <w:lang w:bidi="en-US"/>
        </w:rPr>
        <w:t>Información para observadores presentes durante una audiencia.</w:t>
      </w:r>
    </w:p>
    <w:p w:rsidR="00C53996" w:rsidRDefault="00C53996" w:rsidP="00C53996">
      <w:pPr>
        <w:widowControl w:val="0"/>
        <w:autoSpaceDE w:val="0"/>
        <w:autoSpaceDN w:val="0"/>
        <w:adjustRightInd w:val="0"/>
        <w:rPr>
          <w:rFonts w:cs="Arial-BoldMT"/>
          <w:bCs/>
          <w:color w:val="000000"/>
          <w:lang w:bidi="en-US"/>
        </w:rPr>
      </w:pPr>
      <w:r>
        <w:rPr>
          <w:rFonts w:cs="Arial-BoldMT"/>
          <w:bCs/>
          <w:color w:val="000000"/>
          <w:lang w:bidi="en-US"/>
        </w:rPr>
        <w:t xml:space="preserve">Cada observador debe leer atentamente estas normas y firmar el documento. Una vez terminado se devolverá al presidente del panel. Se guardará conjuntamente con los demás documentos de la audiencia. </w:t>
      </w:r>
    </w:p>
    <w:p w:rsidR="00C53996" w:rsidRDefault="00C53996" w:rsidP="00C53996">
      <w:pPr>
        <w:widowControl w:val="0"/>
        <w:autoSpaceDE w:val="0"/>
        <w:autoSpaceDN w:val="0"/>
        <w:adjustRightInd w:val="0"/>
        <w:spacing w:after="120" w:line="240" w:lineRule="auto"/>
        <w:rPr>
          <w:rFonts w:cs="Arial-BoldMT"/>
          <w:b/>
          <w:bCs/>
          <w:color w:val="000000"/>
          <w:lang w:bidi="en-US"/>
        </w:rPr>
      </w:pPr>
      <w:r>
        <w:rPr>
          <w:rFonts w:cs="Arial-BoldMT"/>
          <w:b/>
          <w:bCs/>
          <w:color w:val="000000"/>
          <w:lang w:bidi="en-US"/>
        </w:rPr>
        <w:t>1.-</w:t>
      </w:r>
      <w:r>
        <w:rPr>
          <w:rFonts w:cs="Arial-BoldMT"/>
          <w:b/>
          <w:bCs/>
          <w:color w:val="000000"/>
          <w:lang w:bidi="en-US"/>
        </w:rPr>
        <w:tab/>
        <w:t>Observadores.</w:t>
      </w:r>
    </w:p>
    <w:p w:rsidR="00C53996" w:rsidRDefault="00C53996" w:rsidP="00C53996">
      <w:pPr>
        <w:widowControl w:val="0"/>
        <w:autoSpaceDE w:val="0"/>
        <w:autoSpaceDN w:val="0"/>
        <w:adjustRightInd w:val="0"/>
        <w:spacing w:after="120" w:line="240" w:lineRule="auto"/>
        <w:ind w:left="709" w:hanging="709"/>
        <w:rPr>
          <w:rFonts w:cs="Arial-BoldMT"/>
          <w:bCs/>
          <w:color w:val="000000"/>
          <w:lang w:val="es-ES_tradnl" w:bidi="en-US"/>
        </w:rPr>
      </w:pPr>
      <w:r>
        <w:rPr>
          <w:rFonts w:cs="Arial-BoldMT"/>
          <w:bCs/>
          <w:color w:val="000000"/>
          <w:lang w:bidi="en-US"/>
        </w:rPr>
        <w:t>1.1.-</w:t>
      </w:r>
      <w:r>
        <w:rPr>
          <w:rFonts w:cs="Arial-BoldMT"/>
          <w:bCs/>
          <w:color w:val="000000"/>
          <w:lang w:bidi="en-US"/>
        </w:rPr>
        <w:tab/>
        <w:t xml:space="preserve">Todos los observadores </w:t>
      </w:r>
      <w:r>
        <w:rPr>
          <w:rFonts w:cs="Arial-BoldMT"/>
          <w:bCs/>
          <w:color w:val="000000"/>
          <w:lang w:val="es-ES_tradnl" w:bidi="en-US"/>
        </w:rPr>
        <w:t>deberán atender y seguir las indicaciones del presidente del panel o del comité de protestas. La presencia en la audiencia está supeditada al presidente del panel.</w:t>
      </w:r>
    </w:p>
    <w:p w:rsidR="00C53996" w:rsidRDefault="00C53996" w:rsidP="00C53996">
      <w:pPr>
        <w:widowControl w:val="0"/>
        <w:autoSpaceDE w:val="0"/>
        <w:autoSpaceDN w:val="0"/>
        <w:adjustRightInd w:val="0"/>
        <w:spacing w:after="120" w:line="240" w:lineRule="auto"/>
        <w:ind w:left="709" w:hanging="709"/>
        <w:rPr>
          <w:rFonts w:cs="Arial-BoldMT"/>
          <w:bCs/>
          <w:color w:val="000000"/>
          <w:lang w:val="es-ES_tradnl" w:bidi="en-US"/>
        </w:rPr>
      </w:pPr>
      <w:r>
        <w:rPr>
          <w:rFonts w:cs="Arial-BoldMT"/>
          <w:bCs/>
          <w:color w:val="000000"/>
          <w:lang w:val="es-ES_tradnl" w:bidi="en-US"/>
        </w:rPr>
        <w:t>1.2.-</w:t>
      </w:r>
      <w:r>
        <w:rPr>
          <w:rFonts w:cs="Arial-BoldMT"/>
          <w:bCs/>
          <w:color w:val="000000"/>
          <w:lang w:val="es-ES_tradnl" w:bidi="en-US"/>
        </w:rPr>
        <w:tab/>
        <w:t>Una parte puede objetar la presencia de un observador al presidente del panel o al presidente del jurado, quien determinará si es apropiado que el observador esté en la audiencia o por el contrario no lo haga.</w:t>
      </w:r>
    </w:p>
    <w:p w:rsidR="00C53996" w:rsidRDefault="00C53996" w:rsidP="00C53996">
      <w:pPr>
        <w:widowControl w:val="0"/>
        <w:autoSpaceDE w:val="0"/>
        <w:autoSpaceDN w:val="0"/>
        <w:adjustRightInd w:val="0"/>
        <w:spacing w:after="120" w:line="240" w:lineRule="auto"/>
        <w:ind w:left="709" w:hanging="709"/>
        <w:rPr>
          <w:rFonts w:cs="Arial-BoldMT"/>
          <w:bCs/>
          <w:color w:val="000000"/>
          <w:lang w:val="es-ES_tradnl" w:bidi="en-US"/>
        </w:rPr>
      </w:pPr>
      <w:r>
        <w:rPr>
          <w:rFonts w:cs="Arial-BoldMT"/>
          <w:bCs/>
          <w:color w:val="000000"/>
          <w:lang w:val="es-ES_tradnl" w:bidi="en-US"/>
        </w:rPr>
        <w:t>1.3.-</w:t>
      </w:r>
      <w:r>
        <w:rPr>
          <w:rFonts w:cs="Arial-BoldMT"/>
          <w:bCs/>
          <w:color w:val="000000"/>
          <w:lang w:val="es-ES_tradnl" w:bidi="en-US"/>
        </w:rPr>
        <w:tab/>
        <w:t>El presidente del panel puede, en cualquier momento durante la audiencia, revocar el permiso a estar presente de cualquier observador.</w:t>
      </w:r>
    </w:p>
    <w:p w:rsidR="00C53996" w:rsidRDefault="00C53996" w:rsidP="00C53996">
      <w:pPr>
        <w:widowControl w:val="0"/>
        <w:autoSpaceDE w:val="0"/>
        <w:autoSpaceDN w:val="0"/>
        <w:adjustRightInd w:val="0"/>
        <w:spacing w:after="120" w:line="240" w:lineRule="auto"/>
        <w:ind w:left="709" w:hanging="709"/>
        <w:rPr>
          <w:rFonts w:cs="Arial-BoldMT"/>
          <w:b/>
          <w:bCs/>
          <w:color w:val="000000"/>
          <w:lang w:val="es-ES_tradnl" w:bidi="en-US"/>
        </w:rPr>
      </w:pPr>
      <w:r>
        <w:rPr>
          <w:rFonts w:cs="Arial-BoldMT"/>
          <w:b/>
          <w:bCs/>
          <w:color w:val="000000"/>
          <w:lang w:val="es-ES_tradnl" w:bidi="en-US"/>
        </w:rPr>
        <w:t>2.-</w:t>
      </w:r>
      <w:r>
        <w:rPr>
          <w:rFonts w:cs="Arial-BoldMT"/>
          <w:b/>
          <w:bCs/>
          <w:color w:val="000000"/>
          <w:lang w:val="es-ES_tradnl" w:bidi="en-US"/>
        </w:rPr>
        <w:tab/>
        <w:t>Comportamiento de los observadores.</w:t>
      </w:r>
    </w:p>
    <w:p w:rsidR="00C53996" w:rsidRDefault="00C53996" w:rsidP="00C53996">
      <w:pPr>
        <w:widowControl w:val="0"/>
        <w:autoSpaceDE w:val="0"/>
        <w:autoSpaceDN w:val="0"/>
        <w:adjustRightInd w:val="0"/>
        <w:spacing w:after="120" w:line="240" w:lineRule="auto"/>
        <w:ind w:left="709" w:hanging="709"/>
        <w:rPr>
          <w:rFonts w:cs="Arial-BoldMT"/>
          <w:bCs/>
          <w:color w:val="000000"/>
          <w:lang w:bidi="en-US"/>
        </w:rPr>
      </w:pPr>
      <w:r>
        <w:rPr>
          <w:rFonts w:cs="Arial-BoldMT"/>
          <w:bCs/>
          <w:color w:val="000000"/>
          <w:lang w:val="es-ES_tradnl" w:bidi="en-US"/>
        </w:rPr>
        <w:t>2.1.-</w:t>
      </w:r>
      <w:r>
        <w:rPr>
          <w:rFonts w:cs="Arial-BoldMT"/>
          <w:bCs/>
          <w:color w:val="000000"/>
          <w:lang w:val="es-ES_tradnl" w:bidi="en-US"/>
        </w:rPr>
        <w:tab/>
        <w:t>Todos los sistemas electrónicos (incluyendo teléfonos móviles, cámaras o cualquier otro sistema de grabación) de</w:t>
      </w:r>
      <w:proofErr w:type="spellStart"/>
      <w:r>
        <w:rPr>
          <w:rFonts w:cs="Arial-BoldMT"/>
          <w:bCs/>
          <w:color w:val="000000"/>
          <w:lang w:bidi="en-US"/>
        </w:rPr>
        <w:t>berán</w:t>
      </w:r>
      <w:proofErr w:type="spellEnd"/>
      <w:r>
        <w:rPr>
          <w:rFonts w:cs="Arial-BoldMT"/>
          <w:bCs/>
          <w:color w:val="000000"/>
          <w:lang w:bidi="en-US"/>
        </w:rPr>
        <w:t xml:space="preserve"> estar desconectados mientras se esté en la sala de audiencias.</w:t>
      </w:r>
    </w:p>
    <w:p w:rsidR="00C53996" w:rsidRDefault="00C53996" w:rsidP="00C53996">
      <w:pPr>
        <w:widowControl w:val="0"/>
        <w:autoSpaceDE w:val="0"/>
        <w:autoSpaceDN w:val="0"/>
        <w:adjustRightInd w:val="0"/>
        <w:spacing w:after="120" w:line="240" w:lineRule="auto"/>
        <w:ind w:left="709" w:hanging="709"/>
        <w:rPr>
          <w:rFonts w:cs="Arial-BoldMT"/>
          <w:bCs/>
          <w:color w:val="000000"/>
          <w:lang w:bidi="en-US"/>
        </w:rPr>
      </w:pPr>
      <w:r>
        <w:rPr>
          <w:rFonts w:cs="Arial-BoldMT"/>
          <w:bCs/>
          <w:color w:val="000000"/>
          <w:lang w:bidi="en-US"/>
        </w:rPr>
        <w:t>2.2.-</w:t>
      </w:r>
      <w:r>
        <w:rPr>
          <w:rFonts w:cs="Arial-BoldMT"/>
          <w:bCs/>
          <w:color w:val="000000"/>
          <w:lang w:bidi="en-US"/>
        </w:rPr>
        <w:tab/>
        <w:t>No se permite la comunicación entre las partes, testigos y/o entre observadores en la sala de audiencias a menos que sea permitido por el presidente del panel.</w:t>
      </w:r>
    </w:p>
    <w:p w:rsidR="00C53996" w:rsidRDefault="00C53996" w:rsidP="00C53996">
      <w:pPr>
        <w:widowControl w:val="0"/>
        <w:autoSpaceDE w:val="0"/>
        <w:autoSpaceDN w:val="0"/>
        <w:adjustRightInd w:val="0"/>
        <w:spacing w:after="120" w:line="240" w:lineRule="auto"/>
        <w:ind w:left="709" w:hanging="709"/>
        <w:rPr>
          <w:rFonts w:cs="Arial-BoldMT"/>
          <w:bCs/>
          <w:color w:val="000000"/>
          <w:lang w:bidi="en-US"/>
        </w:rPr>
      </w:pPr>
      <w:r>
        <w:rPr>
          <w:rFonts w:cs="Arial-BoldMT"/>
          <w:bCs/>
          <w:color w:val="000000"/>
          <w:lang w:bidi="en-US"/>
        </w:rPr>
        <w:t>2.3.-</w:t>
      </w:r>
      <w:r>
        <w:rPr>
          <w:rFonts w:cs="Arial-BoldMT"/>
          <w:bCs/>
          <w:color w:val="000000"/>
          <w:lang w:bidi="en-US"/>
        </w:rPr>
        <w:tab/>
        <w:t>Se llama la atención sobre la regla RRV 63.3 (a) que establece que los testigos, excepto que sean miembros del jurado, esperarán fuera de la sala de audiencias, excepto cuando deben presentar sus evidencias. Si un observador cree que es o puede ser testigo, deberá decirlo al presidente del panel antes de empezar la audiencia</w:t>
      </w:r>
      <w:r w:rsidR="006D6E06">
        <w:rPr>
          <w:rFonts w:cs="Arial-BoldMT"/>
          <w:bCs/>
          <w:color w:val="000000"/>
          <w:lang w:bidi="en-US"/>
        </w:rPr>
        <w:t>.</w:t>
      </w:r>
    </w:p>
    <w:p w:rsidR="006D6E06" w:rsidRDefault="006D6E06" w:rsidP="00C53996">
      <w:pPr>
        <w:widowControl w:val="0"/>
        <w:autoSpaceDE w:val="0"/>
        <w:autoSpaceDN w:val="0"/>
        <w:adjustRightInd w:val="0"/>
        <w:spacing w:after="120" w:line="240" w:lineRule="auto"/>
        <w:ind w:left="709" w:hanging="709"/>
        <w:rPr>
          <w:rFonts w:cs="Arial-BoldMT"/>
          <w:bCs/>
          <w:color w:val="000000"/>
          <w:lang w:bidi="en-US"/>
        </w:rPr>
      </w:pPr>
      <w:bookmarkStart w:id="0" w:name="_GoBack"/>
      <w:bookmarkEnd w:id="0"/>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842"/>
        <w:gridCol w:w="2652"/>
      </w:tblGrid>
      <w:tr w:rsidR="00C53996" w:rsidTr="00C53996">
        <w:tc>
          <w:tcPr>
            <w:tcW w:w="4253" w:type="dxa"/>
            <w:tcBorders>
              <w:top w:val="single" w:sz="4" w:space="0" w:color="000000"/>
              <w:left w:val="single" w:sz="4" w:space="0" w:color="000000"/>
              <w:bottom w:val="single" w:sz="4" w:space="0" w:color="000000"/>
              <w:right w:val="single" w:sz="4" w:space="0" w:color="000000"/>
            </w:tcBorders>
            <w:shd w:val="clear" w:color="auto" w:fill="CCCCCC"/>
            <w:hideMark/>
          </w:tcPr>
          <w:p w:rsidR="00C53996" w:rsidRDefault="00C53996">
            <w:pPr>
              <w:pStyle w:val="Title"/>
              <w:jc w:val="both"/>
              <w:rPr>
                <w:rFonts w:ascii="Calibri" w:hAnsi="Calibri" w:cs="Arial"/>
                <w:sz w:val="22"/>
                <w:szCs w:val="22"/>
                <w:u w:val="none"/>
                <w:lang w:val="es-ES"/>
              </w:rPr>
            </w:pPr>
            <w:r>
              <w:rPr>
                <w:rFonts w:ascii="Calibri" w:hAnsi="Calibri" w:cs="Arial"/>
                <w:sz w:val="22"/>
                <w:szCs w:val="22"/>
                <w:u w:val="none"/>
                <w:lang w:val="es-ES"/>
              </w:rPr>
              <w:t>Nombre del observador</w:t>
            </w:r>
          </w:p>
        </w:tc>
        <w:tc>
          <w:tcPr>
            <w:tcW w:w="1842" w:type="dxa"/>
            <w:tcBorders>
              <w:top w:val="single" w:sz="4" w:space="0" w:color="000000"/>
              <w:left w:val="single" w:sz="4" w:space="0" w:color="000000"/>
              <w:bottom w:val="single" w:sz="4" w:space="0" w:color="000000"/>
              <w:right w:val="single" w:sz="4" w:space="0" w:color="000000"/>
            </w:tcBorders>
            <w:shd w:val="clear" w:color="auto" w:fill="CCCCCC"/>
            <w:hideMark/>
          </w:tcPr>
          <w:p w:rsidR="00C53996" w:rsidRDefault="00C53996">
            <w:pPr>
              <w:pStyle w:val="Title"/>
              <w:jc w:val="both"/>
              <w:rPr>
                <w:rFonts w:ascii="Calibri" w:hAnsi="Calibri" w:cs="Arial"/>
                <w:sz w:val="22"/>
                <w:szCs w:val="22"/>
                <w:u w:val="none"/>
                <w:lang w:val="es-ES"/>
              </w:rPr>
            </w:pPr>
            <w:r>
              <w:rPr>
                <w:rFonts w:ascii="Calibri" w:hAnsi="Calibri" w:cs="Arial"/>
                <w:sz w:val="22"/>
                <w:szCs w:val="22"/>
                <w:u w:val="none"/>
                <w:lang w:val="es-ES"/>
              </w:rPr>
              <w:t>Función (Rol)</w:t>
            </w:r>
          </w:p>
        </w:tc>
        <w:tc>
          <w:tcPr>
            <w:tcW w:w="2652" w:type="dxa"/>
            <w:tcBorders>
              <w:top w:val="single" w:sz="4" w:space="0" w:color="000000"/>
              <w:left w:val="single" w:sz="4" w:space="0" w:color="000000"/>
              <w:bottom w:val="single" w:sz="4" w:space="0" w:color="000000"/>
              <w:right w:val="single" w:sz="4" w:space="0" w:color="000000"/>
            </w:tcBorders>
            <w:shd w:val="clear" w:color="auto" w:fill="CCCCCC"/>
            <w:hideMark/>
          </w:tcPr>
          <w:p w:rsidR="00C53996" w:rsidRDefault="00C53996">
            <w:pPr>
              <w:pStyle w:val="Title"/>
              <w:jc w:val="both"/>
              <w:rPr>
                <w:rFonts w:ascii="Calibri" w:hAnsi="Calibri" w:cs="Arial"/>
                <w:sz w:val="22"/>
                <w:szCs w:val="22"/>
                <w:u w:val="none"/>
                <w:lang w:val="es-ES"/>
              </w:rPr>
            </w:pPr>
            <w:r>
              <w:rPr>
                <w:rFonts w:ascii="Calibri" w:hAnsi="Calibri" w:cs="Arial"/>
                <w:sz w:val="22"/>
                <w:szCs w:val="22"/>
                <w:u w:val="none"/>
                <w:lang w:val="es-ES"/>
              </w:rPr>
              <w:t>Firma</w:t>
            </w:r>
          </w:p>
        </w:tc>
      </w:tr>
      <w:tr w:rsidR="00C53996" w:rsidTr="00C53996">
        <w:tc>
          <w:tcPr>
            <w:tcW w:w="4253"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p w:rsidR="00C53996" w:rsidRDefault="00C53996">
            <w:pPr>
              <w:pStyle w:val="Title"/>
              <w:jc w:val="both"/>
              <w:rPr>
                <w:rFonts w:ascii="Calibri" w:hAnsi="Calibri" w:cs="Arial"/>
                <w:b w:val="0"/>
                <w:szCs w:val="20"/>
                <w:u w:val="none"/>
              </w:rPr>
            </w:pPr>
          </w:p>
        </w:tc>
        <w:tc>
          <w:tcPr>
            <w:tcW w:w="1842"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tc>
        <w:tc>
          <w:tcPr>
            <w:tcW w:w="2652"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tc>
      </w:tr>
      <w:tr w:rsidR="00C53996" w:rsidTr="00C53996">
        <w:tc>
          <w:tcPr>
            <w:tcW w:w="4253"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p w:rsidR="00C53996" w:rsidRDefault="00C53996">
            <w:pPr>
              <w:pStyle w:val="Title"/>
              <w:jc w:val="both"/>
              <w:rPr>
                <w:rFonts w:ascii="Calibri" w:hAnsi="Calibri" w:cs="Arial"/>
                <w:b w:val="0"/>
                <w:szCs w:val="20"/>
                <w:u w:val="none"/>
              </w:rPr>
            </w:pPr>
          </w:p>
        </w:tc>
        <w:tc>
          <w:tcPr>
            <w:tcW w:w="1842"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tc>
        <w:tc>
          <w:tcPr>
            <w:tcW w:w="2652"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tc>
      </w:tr>
      <w:tr w:rsidR="00C53996" w:rsidTr="00C53996">
        <w:tc>
          <w:tcPr>
            <w:tcW w:w="4253"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p w:rsidR="00C53996" w:rsidRDefault="00C53996">
            <w:pPr>
              <w:pStyle w:val="Title"/>
              <w:jc w:val="both"/>
              <w:rPr>
                <w:rFonts w:ascii="Calibri" w:hAnsi="Calibri" w:cs="Arial"/>
                <w:b w:val="0"/>
                <w:szCs w:val="20"/>
                <w:u w:val="none"/>
              </w:rPr>
            </w:pPr>
          </w:p>
        </w:tc>
        <w:tc>
          <w:tcPr>
            <w:tcW w:w="1842"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tc>
        <w:tc>
          <w:tcPr>
            <w:tcW w:w="2652"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tc>
      </w:tr>
      <w:tr w:rsidR="00C53996" w:rsidTr="00C53996">
        <w:tc>
          <w:tcPr>
            <w:tcW w:w="4253"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p w:rsidR="00C53996" w:rsidRDefault="00C53996">
            <w:pPr>
              <w:pStyle w:val="Title"/>
              <w:jc w:val="both"/>
              <w:rPr>
                <w:rFonts w:ascii="Calibri" w:hAnsi="Calibri" w:cs="Arial"/>
                <w:b w:val="0"/>
                <w:szCs w:val="20"/>
                <w:u w:val="none"/>
              </w:rPr>
            </w:pPr>
          </w:p>
        </w:tc>
        <w:tc>
          <w:tcPr>
            <w:tcW w:w="1842"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tc>
        <w:tc>
          <w:tcPr>
            <w:tcW w:w="2652"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tc>
      </w:tr>
      <w:tr w:rsidR="00C53996" w:rsidTr="00C53996">
        <w:tc>
          <w:tcPr>
            <w:tcW w:w="4253"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p w:rsidR="00C53996" w:rsidRDefault="00C53996">
            <w:pPr>
              <w:pStyle w:val="Title"/>
              <w:jc w:val="both"/>
              <w:rPr>
                <w:rFonts w:ascii="Calibri" w:hAnsi="Calibri" w:cs="Arial"/>
                <w:b w:val="0"/>
                <w:szCs w:val="20"/>
                <w:u w:val="none"/>
              </w:rPr>
            </w:pPr>
          </w:p>
        </w:tc>
        <w:tc>
          <w:tcPr>
            <w:tcW w:w="1842"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tc>
        <w:tc>
          <w:tcPr>
            <w:tcW w:w="2652" w:type="dxa"/>
            <w:tcBorders>
              <w:top w:val="single" w:sz="4" w:space="0" w:color="000000"/>
              <w:left w:val="single" w:sz="4" w:space="0" w:color="000000"/>
              <w:bottom w:val="single" w:sz="4" w:space="0" w:color="000000"/>
              <w:right w:val="single" w:sz="4" w:space="0" w:color="000000"/>
            </w:tcBorders>
          </w:tcPr>
          <w:p w:rsidR="00C53996" w:rsidRDefault="00C53996">
            <w:pPr>
              <w:pStyle w:val="Title"/>
              <w:jc w:val="both"/>
              <w:rPr>
                <w:rFonts w:ascii="Calibri" w:hAnsi="Calibri" w:cs="Arial"/>
                <w:b w:val="0"/>
                <w:szCs w:val="20"/>
                <w:u w:val="none"/>
              </w:rPr>
            </w:pPr>
          </w:p>
        </w:tc>
      </w:tr>
    </w:tbl>
    <w:p w:rsidR="00C53996" w:rsidRDefault="00C53996" w:rsidP="00C53996">
      <w:pPr>
        <w:rPr>
          <w:b/>
          <w:i/>
          <w:color w:val="000000"/>
          <w:sz w:val="20"/>
        </w:rPr>
      </w:pPr>
    </w:p>
    <w:p w:rsidR="006D6E06" w:rsidRDefault="006D6E06" w:rsidP="00C53996">
      <w:pPr>
        <w:spacing w:after="0" w:line="240" w:lineRule="auto"/>
        <w:rPr>
          <w:szCs w:val="32"/>
        </w:rPr>
      </w:pPr>
    </w:p>
    <w:p w:rsidR="006D6E06" w:rsidRDefault="006D6E06" w:rsidP="00C53996">
      <w:pPr>
        <w:spacing w:after="0" w:line="240" w:lineRule="auto"/>
        <w:rPr>
          <w:szCs w:val="32"/>
        </w:rPr>
      </w:pPr>
    </w:p>
    <w:p w:rsidR="006D6E06" w:rsidRDefault="006D6E06" w:rsidP="00C53996">
      <w:pPr>
        <w:spacing w:after="0" w:line="240" w:lineRule="auto"/>
        <w:rPr>
          <w:szCs w:val="32"/>
        </w:rPr>
      </w:pPr>
    </w:p>
    <w:p w:rsidR="00C53996" w:rsidRDefault="00C53996" w:rsidP="00C53996">
      <w:pPr>
        <w:spacing w:after="0" w:line="240" w:lineRule="auto"/>
        <w:rPr>
          <w:szCs w:val="32"/>
        </w:rPr>
      </w:pPr>
      <w:r w:rsidRPr="00C53996">
        <w:rPr>
          <w:szCs w:val="32"/>
        </w:rPr>
        <w:t>Presidente del Comité de Protestas</w:t>
      </w:r>
    </w:p>
    <w:p w:rsidR="006D6E06" w:rsidRPr="00C53996" w:rsidRDefault="006D6E06" w:rsidP="00C53996">
      <w:pPr>
        <w:spacing w:after="0" w:line="240" w:lineRule="auto"/>
        <w:rPr>
          <w:szCs w:val="32"/>
        </w:rPr>
      </w:pPr>
      <w:r>
        <w:rPr>
          <w:szCs w:val="32"/>
        </w:rPr>
        <w:t>Fecha</w:t>
      </w:r>
    </w:p>
    <w:sectPr w:rsidR="006D6E06" w:rsidRPr="00C53996" w:rsidSect="00FD53CB">
      <w:footerReference w:type="default" r:id="rId7"/>
      <w:pgSz w:w="11906" w:h="16838"/>
      <w:pgMar w:top="1417" w:right="849" w:bottom="1417" w:left="851"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A6" w:rsidRDefault="002A30A6" w:rsidP="00F47021">
      <w:pPr>
        <w:spacing w:after="0" w:line="240" w:lineRule="auto"/>
      </w:pPr>
      <w:r>
        <w:separator/>
      </w:r>
    </w:p>
  </w:endnote>
  <w:endnote w:type="continuationSeparator" w:id="0">
    <w:p w:rsidR="002A30A6" w:rsidRDefault="002A30A6" w:rsidP="00F4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0F" w:rsidRDefault="00EB348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A6" w:rsidRDefault="002A30A6" w:rsidP="00F47021">
      <w:pPr>
        <w:spacing w:after="0" w:line="240" w:lineRule="auto"/>
      </w:pPr>
      <w:r>
        <w:separator/>
      </w:r>
    </w:p>
  </w:footnote>
  <w:footnote w:type="continuationSeparator" w:id="0">
    <w:p w:rsidR="002A30A6" w:rsidRDefault="002A30A6" w:rsidP="00F47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F022D"/>
    <w:multiLevelType w:val="hybridMultilevel"/>
    <w:tmpl w:val="363E7918"/>
    <w:lvl w:ilvl="0" w:tplc="C19E7F12">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1857B16"/>
    <w:multiLevelType w:val="hybridMultilevel"/>
    <w:tmpl w:val="24342E84"/>
    <w:lvl w:ilvl="0" w:tplc="4BA8E2BE">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21"/>
    <w:rsid w:val="000015AE"/>
    <w:rsid w:val="000741D0"/>
    <w:rsid w:val="000C30B0"/>
    <w:rsid w:val="00133D0B"/>
    <w:rsid w:val="00174B56"/>
    <w:rsid w:val="001D7D65"/>
    <w:rsid w:val="00214050"/>
    <w:rsid w:val="002255F1"/>
    <w:rsid w:val="00294CD8"/>
    <w:rsid w:val="002A30A6"/>
    <w:rsid w:val="002B1B24"/>
    <w:rsid w:val="002C3A93"/>
    <w:rsid w:val="002F0BB4"/>
    <w:rsid w:val="002F313F"/>
    <w:rsid w:val="00302CDB"/>
    <w:rsid w:val="0031455A"/>
    <w:rsid w:val="00341189"/>
    <w:rsid w:val="003B38CD"/>
    <w:rsid w:val="003F7235"/>
    <w:rsid w:val="004A7B4B"/>
    <w:rsid w:val="005D169F"/>
    <w:rsid w:val="00623749"/>
    <w:rsid w:val="006611C0"/>
    <w:rsid w:val="00663F15"/>
    <w:rsid w:val="006D6E06"/>
    <w:rsid w:val="00701C82"/>
    <w:rsid w:val="007634E9"/>
    <w:rsid w:val="00770BEE"/>
    <w:rsid w:val="00796F72"/>
    <w:rsid w:val="007E48DA"/>
    <w:rsid w:val="00810E51"/>
    <w:rsid w:val="008735A1"/>
    <w:rsid w:val="00881363"/>
    <w:rsid w:val="008D542A"/>
    <w:rsid w:val="009029A7"/>
    <w:rsid w:val="00912EC6"/>
    <w:rsid w:val="00915ECF"/>
    <w:rsid w:val="00957FC4"/>
    <w:rsid w:val="0099774D"/>
    <w:rsid w:val="009C2C50"/>
    <w:rsid w:val="00A72225"/>
    <w:rsid w:val="00AA493D"/>
    <w:rsid w:val="00AC3FDC"/>
    <w:rsid w:val="00B504ED"/>
    <w:rsid w:val="00BA3F81"/>
    <w:rsid w:val="00C14D83"/>
    <w:rsid w:val="00C536ED"/>
    <w:rsid w:val="00C53996"/>
    <w:rsid w:val="00CD0139"/>
    <w:rsid w:val="00CF08AB"/>
    <w:rsid w:val="00D06F2F"/>
    <w:rsid w:val="00D44353"/>
    <w:rsid w:val="00D44A41"/>
    <w:rsid w:val="00DB3CCC"/>
    <w:rsid w:val="00DC1808"/>
    <w:rsid w:val="00E6314D"/>
    <w:rsid w:val="00E92863"/>
    <w:rsid w:val="00E96BD0"/>
    <w:rsid w:val="00EB2A80"/>
    <w:rsid w:val="00EB348E"/>
    <w:rsid w:val="00EC00E8"/>
    <w:rsid w:val="00F47021"/>
    <w:rsid w:val="00FA2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A8FFF-F3AA-40F8-897A-E39B9D67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021"/>
    <w:pPr>
      <w:tabs>
        <w:tab w:val="center" w:pos="4252"/>
        <w:tab w:val="right" w:pos="8504"/>
      </w:tabs>
      <w:spacing w:after="0" w:line="240" w:lineRule="auto"/>
    </w:pPr>
  </w:style>
  <w:style w:type="character" w:customStyle="1" w:styleId="HeaderChar">
    <w:name w:val="Header Char"/>
    <w:basedOn w:val="DefaultParagraphFont"/>
    <w:link w:val="Header"/>
    <w:uiPriority w:val="99"/>
    <w:rsid w:val="00F47021"/>
    <w:rPr>
      <w:rFonts w:ascii="Calibri" w:eastAsia="Calibri" w:hAnsi="Calibri" w:cs="Times New Roman"/>
    </w:rPr>
  </w:style>
  <w:style w:type="paragraph" w:styleId="Footer">
    <w:name w:val="footer"/>
    <w:basedOn w:val="Normal"/>
    <w:link w:val="FooterChar"/>
    <w:uiPriority w:val="99"/>
    <w:rsid w:val="00F47021"/>
    <w:pPr>
      <w:tabs>
        <w:tab w:val="center" w:pos="4252"/>
        <w:tab w:val="right" w:pos="8504"/>
      </w:tabs>
      <w:spacing w:after="0" w:line="240" w:lineRule="auto"/>
    </w:pPr>
  </w:style>
  <w:style w:type="character" w:customStyle="1" w:styleId="FooterChar">
    <w:name w:val="Footer Char"/>
    <w:basedOn w:val="DefaultParagraphFont"/>
    <w:link w:val="Footer"/>
    <w:uiPriority w:val="99"/>
    <w:rsid w:val="00F47021"/>
    <w:rPr>
      <w:rFonts w:ascii="Calibri" w:eastAsia="Calibri" w:hAnsi="Calibri" w:cs="Times New Roman"/>
    </w:rPr>
  </w:style>
  <w:style w:type="character" w:styleId="Hyperlink">
    <w:name w:val="Hyperlink"/>
    <w:basedOn w:val="DefaultParagraphFont"/>
    <w:rsid w:val="00F47021"/>
    <w:rPr>
      <w:color w:val="0000FF"/>
      <w:u w:val="single"/>
    </w:rPr>
  </w:style>
  <w:style w:type="character" w:customStyle="1" w:styleId="hs">
    <w:name w:val="hs"/>
    <w:basedOn w:val="DefaultParagraphFont"/>
    <w:rsid w:val="00F47021"/>
  </w:style>
  <w:style w:type="paragraph" w:styleId="BalloonText">
    <w:name w:val="Balloon Text"/>
    <w:basedOn w:val="Normal"/>
    <w:link w:val="BalloonTextChar"/>
    <w:uiPriority w:val="99"/>
    <w:semiHidden/>
    <w:unhideWhenUsed/>
    <w:rsid w:val="002F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3F"/>
    <w:rPr>
      <w:rFonts w:ascii="Tahoma" w:eastAsia="Calibri" w:hAnsi="Tahoma" w:cs="Tahoma"/>
      <w:sz w:val="16"/>
      <w:szCs w:val="16"/>
    </w:rPr>
  </w:style>
  <w:style w:type="paragraph" w:styleId="BodyText3">
    <w:name w:val="Body Text 3"/>
    <w:link w:val="BodyText3Char"/>
    <w:uiPriority w:val="99"/>
    <w:unhideWhenUsed/>
    <w:rsid w:val="00701C82"/>
    <w:pPr>
      <w:spacing w:after="120" w:line="285" w:lineRule="auto"/>
    </w:pPr>
    <w:rPr>
      <w:rFonts w:ascii="Arial" w:eastAsia="Times New Roman" w:hAnsi="Arial" w:cs="Arial"/>
      <w:color w:val="000000"/>
      <w:kern w:val="28"/>
      <w:sz w:val="19"/>
      <w:szCs w:val="19"/>
      <w:lang w:eastAsia="es-ES"/>
    </w:rPr>
  </w:style>
  <w:style w:type="character" w:customStyle="1" w:styleId="BodyText3Char">
    <w:name w:val="Body Text 3 Char"/>
    <w:basedOn w:val="DefaultParagraphFont"/>
    <w:link w:val="BodyText3"/>
    <w:uiPriority w:val="99"/>
    <w:rsid w:val="00701C82"/>
    <w:rPr>
      <w:rFonts w:ascii="Arial" w:eastAsia="Times New Roman" w:hAnsi="Arial" w:cs="Arial"/>
      <w:color w:val="000000"/>
      <w:kern w:val="28"/>
      <w:sz w:val="19"/>
      <w:szCs w:val="19"/>
      <w:lang w:eastAsia="es-ES"/>
    </w:rPr>
  </w:style>
  <w:style w:type="paragraph" w:customStyle="1" w:styleId="msoaddress">
    <w:name w:val="msoaddress"/>
    <w:rsid w:val="00701C82"/>
    <w:pPr>
      <w:spacing w:after="0" w:line="285" w:lineRule="auto"/>
    </w:pPr>
    <w:rPr>
      <w:rFonts w:ascii="Arial" w:eastAsia="Times New Roman" w:hAnsi="Arial" w:cs="Arial"/>
      <w:color w:val="000000"/>
      <w:kern w:val="28"/>
      <w:sz w:val="18"/>
      <w:szCs w:val="18"/>
      <w:lang w:eastAsia="es-ES"/>
    </w:rPr>
  </w:style>
  <w:style w:type="paragraph" w:styleId="Title">
    <w:name w:val="Title"/>
    <w:basedOn w:val="Normal"/>
    <w:link w:val="TitleChar"/>
    <w:qFormat/>
    <w:rsid w:val="00C53996"/>
    <w:pPr>
      <w:spacing w:after="0" w:line="240" w:lineRule="auto"/>
      <w:jc w:val="center"/>
    </w:pPr>
    <w:rPr>
      <w:rFonts w:ascii="Tahoma" w:eastAsia="Times New Roman" w:hAnsi="Tahoma" w:cs="Tahoma"/>
      <w:b/>
      <w:bCs/>
      <w:sz w:val="24"/>
      <w:szCs w:val="24"/>
      <w:u w:val="single"/>
      <w:lang w:val="en-GB"/>
    </w:rPr>
  </w:style>
  <w:style w:type="character" w:customStyle="1" w:styleId="TitleChar">
    <w:name w:val="Title Char"/>
    <w:basedOn w:val="DefaultParagraphFont"/>
    <w:link w:val="Title"/>
    <w:rsid w:val="00C53996"/>
    <w:rPr>
      <w:rFonts w:ascii="Tahoma" w:eastAsia="Times New Roman" w:hAnsi="Tahoma" w:cs="Tahoma"/>
      <w:b/>
      <w:bCs/>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1415</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Ana Sanchez del Campo</cp:lastModifiedBy>
  <cp:revision>2</cp:revision>
  <dcterms:created xsi:type="dcterms:W3CDTF">2019-02-13T19:29:00Z</dcterms:created>
  <dcterms:modified xsi:type="dcterms:W3CDTF">2019-02-13T19:29:00Z</dcterms:modified>
</cp:coreProperties>
</file>